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83" w:rsidRPr="00916183" w:rsidRDefault="00916183" w:rsidP="00916183">
      <w:pPr>
        <w:spacing w:before="100" w:beforeAutospacing="1" w:after="100" w:afterAutospacing="1" w:line="240" w:lineRule="auto"/>
        <w:outlineLvl w:val="0"/>
        <w:rPr>
          <w:rFonts w:ascii="Times New Roman" w:eastAsia="Times New Roman" w:hAnsi="Times New Roman" w:cs="Times New Roman"/>
          <w:kern w:val="36"/>
          <w:sz w:val="48"/>
          <w:szCs w:val="48"/>
        </w:rPr>
      </w:pPr>
      <w:r w:rsidRPr="00916183">
        <w:rPr>
          <w:rFonts w:ascii="Times New Roman" w:eastAsia="Times New Roman" w:hAnsi="Times New Roman" w:cs="Times New Roman"/>
          <w:kern w:val="36"/>
          <w:sz w:val="48"/>
          <w:szCs w:val="48"/>
        </w:rPr>
        <w:t>How to Reduce Your Taxes and AGI by Giving to Charity</w:t>
      </w:r>
    </w:p>
    <w:p w:rsidR="00916183" w:rsidRPr="00916183" w:rsidRDefault="00916183" w:rsidP="00916183">
      <w:pPr>
        <w:spacing w:after="0" w:line="240" w:lineRule="auto"/>
        <w:textAlignment w:val="baseline"/>
        <w:rPr>
          <w:rFonts w:ascii="Times New Roman" w:eastAsia="Times New Roman" w:hAnsi="Times New Roman" w:cs="Times New Roman"/>
          <w:sz w:val="24"/>
          <w:szCs w:val="24"/>
        </w:rPr>
      </w:pPr>
      <w:r w:rsidRPr="00916183">
        <w:rPr>
          <w:rFonts w:ascii="Times New Roman" w:eastAsia="Times New Roman" w:hAnsi="Times New Roman" w:cs="Times New Roman"/>
          <w:sz w:val="24"/>
          <w:szCs w:val="24"/>
        </w:rPr>
        <w:t>By </w:t>
      </w:r>
      <w:hyperlink r:id="rId5" w:history="1">
        <w:r w:rsidRPr="00916183">
          <w:rPr>
            <w:rFonts w:ascii="Arial" w:eastAsia="Times New Roman" w:hAnsi="Arial" w:cs="Arial"/>
            <w:caps/>
            <w:color w:val="111111"/>
            <w:sz w:val="24"/>
            <w:szCs w:val="24"/>
            <w:u w:val="single"/>
          </w:rPr>
          <w:t>MARK P. CUSSEN</w:t>
        </w:r>
      </w:hyperlink>
    </w:p>
    <w:p w:rsidR="00916183" w:rsidRPr="00916183" w:rsidRDefault="00916183" w:rsidP="00916183">
      <w:pPr>
        <w:spacing w:after="0" w:line="240" w:lineRule="auto"/>
        <w:textAlignment w:val="baseline"/>
        <w:rPr>
          <w:rFonts w:ascii="Times New Roman" w:eastAsia="Times New Roman" w:hAnsi="Times New Roman" w:cs="Times New Roman"/>
          <w:sz w:val="24"/>
          <w:szCs w:val="24"/>
        </w:rPr>
      </w:pPr>
      <w:r w:rsidRPr="00916183">
        <w:rPr>
          <w:rFonts w:ascii="Times New Roman" w:eastAsia="Times New Roman" w:hAnsi="Times New Roman" w:cs="Times New Roman"/>
          <w:sz w:val="24"/>
          <w:szCs w:val="24"/>
        </w:rPr>
        <w:t> Updated Jan 16, 2020</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Required minimum distributions from IRAs can be a drag for many a taxpayer, uncomfortably boosting his annual income, sometimes even into a higher bracket. But there's a way to do good with the RMD, both for others and for one's own bottom line. In 2015, Congress made permanent the qualified charitable distribution (QCD) rule. This rule allows traditional </w:t>
      </w:r>
      <w:hyperlink r:id="rId6" w:history="1">
        <w:r w:rsidRPr="00916183">
          <w:rPr>
            <w:rFonts w:ascii="Arial" w:eastAsia="Times New Roman" w:hAnsi="Arial" w:cs="Arial"/>
            <w:color w:val="2C40D0"/>
            <w:sz w:val="26"/>
            <w:szCs w:val="26"/>
            <w:u w:val="single"/>
          </w:rPr>
          <w:t>IRA</w:t>
        </w:r>
      </w:hyperlink>
      <w:r w:rsidRPr="00916183">
        <w:rPr>
          <w:rFonts w:ascii="Arial" w:eastAsia="Times New Roman" w:hAnsi="Arial" w:cs="Arial"/>
          <w:color w:val="111111"/>
          <w:sz w:val="26"/>
          <w:szCs w:val="26"/>
        </w:rPr>
        <w:t> owners to exclude their required minimum distributions (RMDs) from their adjusted gross income if they give the money to a qualified charitable organization.</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Given the impact RMDs can have on one's tax bill, it's worth creating long-term planning strategies around this rule. </w:t>
      </w:r>
    </w:p>
    <w:p w:rsidR="00916183" w:rsidRPr="00916183" w:rsidRDefault="00916183" w:rsidP="00916183">
      <w:pPr>
        <w:shd w:val="clear" w:color="auto" w:fill="FFFFFF"/>
        <w:spacing w:after="0" w:line="240" w:lineRule="auto"/>
        <w:outlineLvl w:val="2"/>
        <w:rPr>
          <w:rFonts w:ascii="Arial" w:eastAsia="Times New Roman" w:hAnsi="Arial" w:cs="Arial"/>
          <w:caps/>
          <w:color w:val="111111"/>
          <w:sz w:val="27"/>
          <w:szCs w:val="27"/>
        </w:rPr>
      </w:pPr>
      <w:r w:rsidRPr="00916183">
        <w:rPr>
          <w:rFonts w:ascii="Arial" w:eastAsia="Times New Roman" w:hAnsi="Arial" w:cs="Arial"/>
          <w:caps/>
          <w:color w:val="111111"/>
          <w:sz w:val="27"/>
          <w:szCs w:val="27"/>
        </w:rPr>
        <w:t>KEY TAKEAWAYS</w:t>
      </w:r>
    </w:p>
    <w:p w:rsidR="00916183" w:rsidRPr="00916183" w:rsidRDefault="00916183" w:rsidP="00916183">
      <w:pPr>
        <w:numPr>
          <w:ilvl w:val="0"/>
          <w:numId w:val="2"/>
        </w:numPr>
        <w:shd w:val="clear" w:color="auto" w:fill="FFFFFF"/>
        <w:spacing w:before="100" w:beforeAutospacing="1"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 xml:space="preserve">The qualified charitable distribution (QCD) rule allows traditional IRA </w:t>
      </w:r>
      <w:proofErr w:type="gramStart"/>
      <w:r w:rsidRPr="00916183">
        <w:rPr>
          <w:rFonts w:ascii="Arial" w:eastAsia="Times New Roman" w:hAnsi="Arial" w:cs="Arial"/>
          <w:color w:val="111111"/>
          <w:sz w:val="26"/>
          <w:szCs w:val="26"/>
        </w:rPr>
        <w:t>owners</w:t>
      </w:r>
      <w:proofErr w:type="gramEnd"/>
      <w:r w:rsidRPr="00916183">
        <w:rPr>
          <w:rFonts w:ascii="Arial" w:eastAsia="Times New Roman" w:hAnsi="Arial" w:cs="Arial"/>
          <w:color w:val="111111"/>
          <w:sz w:val="26"/>
          <w:szCs w:val="26"/>
        </w:rPr>
        <w:t xml:space="preserve"> to deduct their required minimum distributions on their tax returns if they give the money to a charity.</w:t>
      </w:r>
    </w:p>
    <w:p w:rsidR="00916183" w:rsidRPr="00916183" w:rsidRDefault="00916183" w:rsidP="00916183">
      <w:pPr>
        <w:numPr>
          <w:ilvl w:val="0"/>
          <w:numId w:val="2"/>
        </w:numPr>
        <w:shd w:val="clear" w:color="auto" w:fill="FFFFFF"/>
        <w:spacing w:before="100" w:beforeAutospacing="1"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By lowering your adjusted gross income, the QCD rule can effectively reduce your income taxes.</w:t>
      </w:r>
    </w:p>
    <w:p w:rsidR="00916183" w:rsidRPr="00916183" w:rsidRDefault="00916183" w:rsidP="00916183">
      <w:pPr>
        <w:numPr>
          <w:ilvl w:val="0"/>
          <w:numId w:val="2"/>
        </w:numPr>
        <w:shd w:val="clear" w:color="auto" w:fill="FFFFFF"/>
        <w:spacing w:before="100" w:beforeAutospacing="1"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QCDs are capped at $100,000 annually, per person.</w:t>
      </w:r>
    </w:p>
    <w:p w:rsidR="00916183" w:rsidRPr="00916183" w:rsidRDefault="00916183" w:rsidP="00916183">
      <w:pPr>
        <w:numPr>
          <w:ilvl w:val="0"/>
          <w:numId w:val="2"/>
        </w:numPr>
        <w:shd w:val="clear" w:color="auto" w:fill="FFFFFF"/>
        <w:spacing w:before="100" w:beforeAutospacing="1" w:after="0"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QCDs must be made directly to the charity.</w:t>
      </w:r>
    </w:p>
    <w:p w:rsidR="00916183" w:rsidRPr="00916183" w:rsidRDefault="00916183" w:rsidP="00916183">
      <w:pPr>
        <w:shd w:val="clear" w:color="auto" w:fill="FFFFFF"/>
        <w:spacing w:after="0" w:line="240" w:lineRule="auto"/>
        <w:outlineLvl w:val="1"/>
        <w:rPr>
          <w:rFonts w:ascii="Arial" w:eastAsia="Times New Roman" w:hAnsi="Arial" w:cs="Arial"/>
          <w:color w:val="111111"/>
          <w:sz w:val="36"/>
          <w:szCs w:val="36"/>
        </w:rPr>
      </w:pPr>
      <w:r w:rsidRPr="00916183">
        <w:rPr>
          <w:rFonts w:ascii="Arial" w:eastAsia="Times New Roman" w:hAnsi="Arial" w:cs="Arial"/>
          <w:color w:val="111111"/>
          <w:sz w:val="36"/>
          <w:szCs w:val="36"/>
        </w:rPr>
        <w:t xml:space="preserve">Who Can Use the QCD </w:t>
      </w:r>
      <w:proofErr w:type="gramStart"/>
      <w:r w:rsidRPr="00916183">
        <w:rPr>
          <w:rFonts w:ascii="Arial" w:eastAsia="Times New Roman" w:hAnsi="Arial" w:cs="Arial"/>
          <w:color w:val="111111"/>
          <w:sz w:val="36"/>
          <w:szCs w:val="36"/>
        </w:rPr>
        <w:t>Rule</w:t>
      </w:r>
      <w:proofErr w:type="gramEnd"/>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Any traditional IRA owner or beneficiary who is at least 70½ years old can use the qualified charitable distribution (QCD) rule to exempt their </w:t>
      </w:r>
      <w:hyperlink r:id="rId7" w:history="1">
        <w:r w:rsidRPr="00916183">
          <w:rPr>
            <w:rFonts w:ascii="Arial" w:eastAsia="Times New Roman" w:hAnsi="Arial" w:cs="Arial"/>
            <w:color w:val="2C40D0"/>
            <w:sz w:val="26"/>
            <w:szCs w:val="26"/>
            <w:u w:val="single"/>
          </w:rPr>
          <w:t>required minimum distributions</w:t>
        </w:r>
      </w:hyperlink>
      <w:r w:rsidRPr="00916183">
        <w:rPr>
          <w:rFonts w:ascii="Arial" w:eastAsia="Times New Roman" w:hAnsi="Arial" w:cs="Arial"/>
          <w:color w:val="111111"/>
          <w:sz w:val="26"/>
          <w:szCs w:val="26"/>
        </w:rPr>
        <w:t> (RMDs) from taxation. The age limit here applies to the exact date on which the IRA owner turns age 70½. For example, if an IRA owner turns 70 on February 15, he or she cannot make a QCD until August 15.</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hyperlink r:id="rId8" w:history="1">
        <w:r w:rsidRPr="00916183">
          <w:rPr>
            <w:rFonts w:ascii="Arial" w:eastAsia="Times New Roman" w:hAnsi="Arial" w:cs="Arial"/>
            <w:color w:val="2C40D0"/>
            <w:sz w:val="26"/>
            <w:szCs w:val="26"/>
            <w:u w:val="single"/>
          </w:rPr>
          <w:t>Roth IRA</w:t>
        </w:r>
      </w:hyperlink>
      <w:r w:rsidRPr="00916183">
        <w:rPr>
          <w:rFonts w:ascii="Arial" w:eastAsia="Times New Roman" w:hAnsi="Arial" w:cs="Arial"/>
          <w:color w:val="111111"/>
          <w:sz w:val="26"/>
          <w:szCs w:val="26"/>
        </w:rPr>
        <w:t> owners are also allowed to use the QCD rule, although they will not see any benefit from doing so as their distributions are already tax-free.</w:t>
      </w:r>
    </w:p>
    <w:p w:rsidR="00916183" w:rsidRPr="00916183" w:rsidRDefault="00916183" w:rsidP="00916183">
      <w:pPr>
        <w:shd w:val="clear" w:color="auto" w:fill="FFFFFF"/>
        <w:spacing w:after="0" w:line="240" w:lineRule="auto"/>
        <w:outlineLvl w:val="1"/>
        <w:rPr>
          <w:rFonts w:ascii="Arial" w:eastAsia="Times New Roman" w:hAnsi="Arial" w:cs="Arial"/>
          <w:color w:val="111111"/>
          <w:sz w:val="36"/>
          <w:szCs w:val="36"/>
        </w:rPr>
      </w:pPr>
      <w:r w:rsidRPr="00916183">
        <w:rPr>
          <w:rFonts w:ascii="Arial" w:eastAsia="Times New Roman" w:hAnsi="Arial" w:cs="Arial"/>
          <w:color w:val="111111"/>
          <w:sz w:val="36"/>
          <w:szCs w:val="36"/>
        </w:rPr>
        <w:t>Eligible Distributions</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All contributions and earnings that accumulate inside a traditional IRA are eligible for QCDs. The exception is nondeductible contributions, as they are considered a tax-free return of basis. </w:t>
      </w:r>
    </w:p>
    <w:p w:rsidR="00916183" w:rsidRPr="00916183" w:rsidRDefault="00916183" w:rsidP="00916183">
      <w:pPr>
        <w:shd w:val="clear" w:color="auto" w:fill="FFFFFF"/>
        <w:spacing w:after="0"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 </w:t>
      </w:r>
    </w:p>
    <w:p w:rsidR="00916183" w:rsidRPr="00916183" w:rsidRDefault="00916183" w:rsidP="00916183">
      <w:pPr>
        <w:shd w:val="clear" w:color="auto" w:fill="FFFFFF"/>
        <w:spacing w:after="0" w:line="240" w:lineRule="auto"/>
        <w:textAlignment w:val="top"/>
        <w:rPr>
          <w:rFonts w:ascii="Arial" w:eastAsia="Times New Roman" w:hAnsi="Arial" w:cs="Arial"/>
          <w:color w:val="111111"/>
          <w:sz w:val="26"/>
          <w:szCs w:val="26"/>
        </w:rPr>
      </w:pPr>
      <w:r w:rsidRPr="00916183">
        <w:rPr>
          <w:rFonts w:ascii="Arial" w:eastAsia="Times New Roman" w:hAnsi="Arial" w:cs="Arial"/>
          <w:color w:val="111111"/>
          <w:sz w:val="26"/>
          <w:szCs w:val="26"/>
        </w:rPr>
        <w:lastRenderedPageBreak/>
        <w:t>The amount that can be taken as a QCD is capped at $100,000 per taxpayer per year.</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Joint gifting strategies are also not available for the purpose of QCDs, meaning a couple cannot take both of their aggregate RMD amounts from a single account and exclude the entire amount from their </w:t>
      </w:r>
      <w:hyperlink r:id="rId9" w:history="1">
        <w:r w:rsidRPr="00916183">
          <w:rPr>
            <w:rFonts w:ascii="Arial" w:eastAsia="Times New Roman" w:hAnsi="Arial" w:cs="Arial"/>
            <w:color w:val="2C40D0"/>
            <w:sz w:val="26"/>
            <w:szCs w:val="26"/>
            <w:u w:val="single"/>
          </w:rPr>
          <w:t>adjusted gross income</w:t>
        </w:r>
      </w:hyperlink>
      <w:r w:rsidRPr="00916183">
        <w:rPr>
          <w:rFonts w:ascii="Arial" w:eastAsia="Times New Roman" w:hAnsi="Arial" w:cs="Arial"/>
          <w:color w:val="111111"/>
          <w:sz w:val="26"/>
          <w:szCs w:val="26"/>
        </w:rPr>
        <w:t> (AGI). Each of them must take their RMD from their own accounts for both to qualify.</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The QCD strategy can also benefit traditional IRA owners who want to convert their balances to Roth accounts, as the QCD will reduce the amount of taxable money in the account.</w:t>
      </w:r>
    </w:p>
    <w:p w:rsidR="00916183" w:rsidRPr="00916183" w:rsidRDefault="00916183" w:rsidP="00916183">
      <w:pPr>
        <w:shd w:val="clear" w:color="auto" w:fill="FFFFFF"/>
        <w:spacing w:after="0" w:line="240" w:lineRule="auto"/>
        <w:outlineLvl w:val="1"/>
        <w:rPr>
          <w:rFonts w:ascii="Arial" w:eastAsia="Times New Roman" w:hAnsi="Arial" w:cs="Arial"/>
          <w:color w:val="111111"/>
          <w:sz w:val="36"/>
          <w:szCs w:val="36"/>
        </w:rPr>
      </w:pPr>
      <w:r w:rsidRPr="00916183">
        <w:rPr>
          <w:rFonts w:ascii="Arial" w:eastAsia="Times New Roman" w:hAnsi="Arial" w:cs="Arial"/>
          <w:color w:val="111111"/>
          <w:sz w:val="36"/>
          <w:szCs w:val="36"/>
        </w:rPr>
        <w:t>The AGI Advantage</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One of the biggest advantages the QCD rule provides is the ability for taxpayers to lower their </w:t>
      </w:r>
      <w:hyperlink r:id="rId10" w:history="1">
        <w:r w:rsidRPr="00916183">
          <w:rPr>
            <w:rFonts w:ascii="Arial" w:eastAsia="Times New Roman" w:hAnsi="Arial" w:cs="Arial"/>
            <w:color w:val="2C40D0"/>
            <w:sz w:val="26"/>
            <w:szCs w:val="26"/>
            <w:u w:val="single"/>
          </w:rPr>
          <w:t>adjusted gross income (AGI)</w:t>
        </w:r>
      </w:hyperlink>
      <w:r w:rsidRPr="00916183">
        <w:rPr>
          <w:rFonts w:ascii="Arial" w:eastAsia="Times New Roman" w:hAnsi="Arial" w:cs="Arial"/>
          <w:color w:val="111111"/>
          <w:sz w:val="26"/>
          <w:szCs w:val="26"/>
        </w:rPr>
        <w:t>. This is much more valuable than taking an </w:t>
      </w:r>
      <w:hyperlink r:id="rId11" w:history="1">
        <w:r w:rsidRPr="00916183">
          <w:rPr>
            <w:rFonts w:ascii="Arial" w:eastAsia="Times New Roman" w:hAnsi="Arial" w:cs="Arial"/>
            <w:color w:val="2C40D0"/>
            <w:sz w:val="26"/>
            <w:szCs w:val="26"/>
            <w:u w:val="single"/>
          </w:rPr>
          <w:t>itemized deduction</w:t>
        </w:r>
      </w:hyperlink>
      <w:r w:rsidRPr="00916183">
        <w:rPr>
          <w:rFonts w:ascii="Arial" w:eastAsia="Times New Roman" w:hAnsi="Arial" w:cs="Arial"/>
          <w:color w:val="111111"/>
          <w:sz w:val="26"/>
          <w:szCs w:val="26"/>
        </w:rPr>
        <w:t>, which merely lowers taxable income. Because AGI is used for many tax calculations, having a lower number can allow the donor to stay in a lower tax bracket, reduce or eliminate the taxation of Social Security or other income, and remain eligible for deductions and credits that might be lost if the taxpayer had to declare the RMD amount as income.</w:t>
      </w:r>
    </w:p>
    <w:p w:rsidR="00916183" w:rsidRPr="00916183" w:rsidRDefault="00916183" w:rsidP="00916183">
      <w:pPr>
        <w:shd w:val="clear" w:color="auto" w:fill="FFFFFF"/>
        <w:spacing w:after="0" w:line="240" w:lineRule="auto"/>
        <w:outlineLvl w:val="1"/>
        <w:rPr>
          <w:rFonts w:ascii="Arial" w:eastAsia="Times New Roman" w:hAnsi="Arial" w:cs="Arial"/>
          <w:color w:val="111111"/>
          <w:sz w:val="36"/>
          <w:szCs w:val="36"/>
        </w:rPr>
      </w:pPr>
      <w:r w:rsidRPr="00916183">
        <w:rPr>
          <w:rFonts w:ascii="Arial" w:eastAsia="Times New Roman" w:hAnsi="Arial" w:cs="Arial"/>
          <w:color w:val="111111"/>
          <w:sz w:val="36"/>
          <w:szCs w:val="36"/>
        </w:rPr>
        <w:t>Payout Rules</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The main rule to remember when it comes to QCDs is the distributions must be made directly to the charity, not to the owner or </w:t>
      </w:r>
      <w:hyperlink r:id="rId12" w:history="1">
        <w:r w:rsidRPr="00916183">
          <w:rPr>
            <w:rFonts w:ascii="Arial" w:eastAsia="Times New Roman" w:hAnsi="Arial" w:cs="Arial"/>
            <w:color w:val="2C40D0"/>
            <w:sz w:val="26"/>
            <w:szCs w:val="26"/>
            <w:u w:val="single"/>
          </w:rPr>
          <w:t>beneficiary</w:t>
        </w:r>
      </w:hyperlink>
      <w:r w:rsidRPr="00916183">
        <w:rPr>
          <w:rFonts w:ascii="Arial" w:eastAsia="Times New Roman" w:hAnsi="Arial" w:cs="Arial"/>
          <w:color w:val="111111"/>
          <w:sz w:val="26"/>
          <w:szCs w:val="26"/>
        </w:rPr>
        <w:t>. This means, have the distribution check made out to the charity or it will be counted as a taxable distribution. The IRA owner or beneficiary can receive this check and deliver it to the organization, but he or she cannot deposit the check and make out another one to the charity.</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The IRA owner can, of course, take a sum larger than his or her RMD and give it to the charity. Remember that $100,000 cap, though. Any distributions in excess of $100,000 will not be excluded from AGI, and the taxpayer must qualify for itemized deductions to deduct the excess contribution.</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The receiving charity must also be a qualified 501(c</w:t>
      </w:r>
      <w:proofErr w:type="gramStart"/>
      <w:r w:rsidRPr="00916183">
        <w:rPr>
          <w:rFonts w:ascii="Arial" w:eastAsia="Times New Roman" w:hAnsi="Arial" w:cs="Arial"/>
          <w:color w:val="111111"/>
          <w:sz w:val="26"/>
          <w:szCs w:val="26"/>
        </w:rPr>
        <w:t>)3</w:t>
      </w:r>
      <w:proofErr w:type="gramEnd"/>
      <w:r w:rsidRPr="00916183">
        <w:rPr>
          <w:rFonts w:ascii="Arial" w:eastAsia="Times New Roman" w:hAnsi="Arial" w:cs="Arial"/>
          <w:color w:val="111111"/>
          <w:sz w:val="26"/>
          <w:szCs w:val="26"/>
        </w:rPr>
        <w:t xml:space="preserve"> organization. Vehicles such as charitable gift annuities will not qualify.</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Finally, the donation amount must also be substantiated by the charity with a written receipt.</w:t>
      </w:r>
    </w:p>
    <w:p w:rsidR="00916183" w:rsidRPr="00916183" w:rsidRDefault="00916183" w:rsidP="00916183">
      <w:pPr>
        <w:shd w:val="clear" w:color="auto" w:fill="FFFFFF"/>
        <w:spacing w:after="0" w:line="240" w:lineRule="auto"/>
        <w:rPr>
          <w:rFonts w:ascii="Arial" w:eastAsia="Times New Roman" w:hAnsi="Arial" w:cs="Arial"/>
          <w:b/>
          <w:i/>
          <w:iCs/>
          <w:color w:val="111111"/>
          <w:sz w:val="26"/>
          <w:szCs w:val="26"/>
        </w:rPr>
      </w:pPr>
      <w:bookmarkStart w:id="0" w:name="_GoBack"/>
      <w:r w:rsidRPr="00916183">
        <w:rPr>
          <w:rFonts w:ascii="Arial" w:eastAsia="Times New Roman" w:hAnsi="Arial" w:cs="Arial"/>
          <w:b/>
          <w:i/>
          <w:iCs/>
          <w:color w:val="111111"/>
          <w:sz w:val="26"/>
          <w:szCs w:val="26"/>
        </w:rPr>
        <w:t xml:space="preserve">The SECURE Act, passed in late 2019, increased the age at which IRA owners must begin required minimum distributions to 72; however, the age for qualified charitable distributions remains age 70½, creating a unique </w:t>
      </w:r>
      <w:r w:rsidRPr="00916183">
        <w:rPr>
          <w:rFonts w:ascii="Arial" w:eastAsia="Times New Roman" w:hAnsi="Arial" w:cs="Arial"/>
          <w:b/>
          <w:i/>
          <w:iCs/>
          <w:color w:val="111111"/>
          <w:sz w:val="26"/>
          <w:szCs w:val="26"/>
        </w:rPr>
        <w:lastRenderedPageBreak/>
        <w:t>one-to-two-year window in which IRA distributions qualify as charitable contributions, but not as RMDs.</w:t>
      </w:r>
    </w:p>
    <w:bookmarkEnd w:id="0"/>
    <w:p w:rsidR="00916183" w:rsidRPr="00916183" w:rsidRDefault="00916183" w:rsidP="00916183">
      <w:pPr>
        <w:shd w:val="clear" w:color="auto" w:fill="FFFFFF"/>
        <w:spacing w:after="0" w:line="240" w:lineRule="auto"/>
        <w:outlineLvl w:val="1"/>
        <w:rPr>
          <w:rFonts w:ascii="Arial" w:eastAsia="Times New Roman" w:hAnsi="Arial" w:cs="Arial"/>
          <w:color w:val="111111"/>
          <w:sz w:val="36"/>
          <w:szCs w:val="36"/>
        </w:rPr>
      </w:pPr>
      <w:r w:rsidRPr="00916183">
        <w:rPr>
          <w:rFonts w:ascii="Arial" w:eastAsia="Times New Roman" w:hAnsi="Arial" w:cs="Arial"/>
          <w:color w:val="111111"/>
          <w:sz w:val="36"/>
          <w:szCs w:val="36"/>
        </w:rPr>
        <w:t>The Bottom Line</w:t>
      </w:r>
    </w:p>
    <w:p w:rsidR="00916183" w:rsidRPr="00916183" w:rsidRDefault="00916183" w:rsidP="00916183">
      <w:pPr>
        <w:shd w:val="clear" w:color="auto" w:fill="FFFFFF"/>
        <w:spacing w:after="100" w:afterAutospacing="1" w:line="240" w:lineRule="auto"/>
        <w:rPr>
          <w:rFonts w:ascii="Arial" w:eastAsia="Times New Roman" w:hAnsi="Arial" w:cs="Arial"/>
          <w:color w:val="111111"/>
          <w:sz w:val="26"/>
          <w:szCs w:val="26"/>
        </w:rPr>
      </w:pPr>
      <w:r w:rsidRPr="00916183">
        <w:rPr>
          <w:rFonts w:ascii="Arial" w:eastAsia="Times New Roman" w:hAnsi="Arial" w:cs="Arial"/>
          <w:color w:val="111111"/>
          <w:sz w:val="26"/>
          <w:szCs w:val="26"/>
        </w:rPr>
        <w:t>IRA owners who wish to lower their AGI can use the qualified charitable distribution strategy to efficiently disperse money to a charity of their choice. This strategy is superior to taking constructive receipt of the distribution and then donating to charity because the second option will not reduce the donor’s AGI. If used properly, the QCD rule will provide charitably minded IRA owners with a convenient tax deduction for years to come.</w:t>
      </w:r>
    </w:p>
    <w:p w:rsidR="00531829" w:rsidRDefault="00531829"/>
    <w:sectPr w:rsidR="00531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E0F"/>
    <w:multiLevelType w:val="multilevel"/>
    <w:tmpl w:val="0AE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2A596A"/>
    <w:multiLevelType w:val="multilevel"/>
    <w:tmpl w:val="09DE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83"/>
    <w:rsid w:val="00531829"/>
    <w:rsid w:val="0091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6BF7D-EBE0-4098-92E5-DCD38233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69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579">
          <w:marLeft w:val="0"/>
          <w:marRight w:val="0"/>
          <w:marTop w:val="0"/>
          <w:marBottom w:val="0"/>
          <w:divBdr>
            <w:top w:val="none" w:sz="0" w:space="0" w:color="auto"/>
            <w:left w:val="none" w:sz="0" w:space="0" w:color="auto"/>
            <w:bottom w:val="none" w:sz="0" w:space="0" w:color="auto"/>
            <w:right w:val="none" w:sz="0" w:space="0" w:color="auto"/>
          </w:divBdr>
          <w:divsChild>
            <w:div w:id="94135468">
              <w:marLeft w:val="0"/>
              <w:marRight w:val="0"/>
              <w:marTop w:val="0"/>
              <w:marBottom w:val="0"/>
              <w:divBdr>
                <w:top w:val="none" w:sz="0" w:space="0" w:color="auto"/>
                <w:left w:val="none" w:sz="0" w:space="0" w:color="auto"/>
                <w:bottom w:val="none" w:sz="0" w:space="0" w:color="auto"/>
                <w:right w:val="none" w:sz="0" w:space="0" w:color="auto"/>
              </w:divBdr>
            </w:div>
            <w:div w:id="1055394629">
              <w:marLeft w:val="0"/>
              <w:marRight w:val="0"/>
              <w:marTop w:val="0"/>
              <w:marBottom w:val="0"/>
              <w:divBdr>
                <w:top w:val="none" w:sz="0" w:space="0" w:color="auto"/>
                <w:left w:val="none" w:sz="0" w:space="0" w:color="auto"/>
                <w:bottom w:val="none" w:sz="0" w:space="0" w:color="auto"/>
                <w:right w:val="none" w:sz="0" w:space="0" w:color="auto"/>
              </w:divBdr>
            </w:div>
          </w:divsChild>
        </w:div>
        <w:div w:id="924805182">
          <w:marLeft w:val="0"/>
          <w:marRight w:val="0"/>
          <w:marTop w:val="0"/>
          <w:marBottom w:val="0"/>
          <w:divBdr>
            <w:top w:val="none" w:sz="0" w:space="0" w:color="auto"/>
            <w:left w:val="none" w:sz="0" w:space="0" w:color="auto"/>
            <w:bottom w:val="none" w:sz="0" w:space="0" w:color="auto"/>
            <w:right w:val="none" w:sz="0" w:space="0" w:color="auto"/>
          </w:divBdr>
          <w:divsChild>
            <w:div w:id="1939870025">
              <w:marLeft w:val="0"/>
              <w:marRight w:val="0"/>
              <w:marTop w:val="0"/>
              <w:marBottom w:val="0"/>
              <w:divBdr>
                <w:top w:val="none" w:sz="0" w:space="0" w:color="auto"/>
                <w:left w:val="none" w:sz="0" w:space="0" w:color="auto"/>
                <w:bottom w:val="none" w:sz="0" w:space="0" w:color="auto"/>
                <w:right w:val="none" w:sz="0" w:space="0" w:color="auto"/>
              </w:divBdr>
              <w:divsChild>
                <w:div w:id="310671300">
                  <w:marLeft w:val="0"/>
                  <w:marRight w:val="0"/>
                  <w:marTop w:val="0"/>
                  <w:marBottom w:val="0"/>
                  <w:divBdr>
                    <w:top w:val="none" w:sz="0" w:space="0" w:color="auto"/>
                    <w:left w:val="none" w:sz="0" w:space="0" w:color="auto"/>
                    <w:bottom w:val="none" w:sz="0" w:space="0" w:color="auto"/>
                    <w:right w:val="none" w:sz="0" w:space="0" w:color="auto"/>
                  </w:divBdr>
                </w:div>
                <w:div w:id="888105021">
                  <w:marLeft w:val="0"/>
                  <w:marRight w:val="0"/>
                  <w:marTop w:val="0"/>
                  <w:marBottom w:val="0"/>
                  <w:divBdr>
                    <w:top w:val="none" w:sz="0" w:space="0" w:color="auto"/>
                    <w:left w:val="none" w:sz="0" w:space="0" w:color="auto"/>
                    <w:bottom w:val="none" w:sz="0" w:space="0" w:color="auto"/>
                    <w:right w:val="none" w:sz="0" w:space="0" w:color="auto"/>
                  </w:divBdr>
                </w:div>
                <w:div w:id="1628243155">
                  <w:marLeft w:val="0"/>
                  <w:marRight w:val="0"/>
                  <w:marTop w:val="0"/>
                  <w:marBottom w:val="0"/>
                  <w:divBdr>
                    <w:top w:val="none" w:sz="0" w:space="0" w:color="auto"/>
                    <w:left w:val="none" w:sz="0" w:space="0" w:color="auto"/>
                    <w:bottom w:val="none" w:sz="0" w:space="0" w:color="auto"/>
                    <w:right w:val="none" w:sz="0" w:space="0" w:color="auto"/>
                  </w:divBdr>
                  <w:divsChild>
                    <w:div w:id="1851606026">
                      <w:marLeft w:val="0"/>
                      <w:marRight w:val="0"/>
                      <w:marTop w:val="0"/>
                      <w:marBottom w:val="0"/>
                      <w:divBdr>
                        <w:top w:val="none" w:sz="0" w:space="0" w:color="auto"/>
                        <w:left w:val="none" w:sz="0" w:space="0" w:color="auto"/>
                        <w:bottom w:val="none" w:sz="0" w:space="0" w:color="auto"/>
                        <w:right w:val="none" w:sz="0" w:space="0" w:color="auto"/>
                      </w:divBdr>
                      <w:divsChild>
                        <w:div w:id="2580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191">
                  <w:marLeft w:val="0"/>
                  <w:marRight w:val="0"/>
                  <w:marTop w:val="0"/>
                  <w:marBottom w:val="0"/>
                  <w:divBdr>
                    <w:top w:val="none" w:sz="0" w:space="0" w:color="auto"/>
                    <w:left w:val="none" w:sz="0" w:space="0" w:color="auto"/>
                    <w:bottom w:val="none" w:sz="0" w:space="0" w:color="auto"/>
                    <w:right w:val="none" w:sz="0" w:space="0" w:color="auto"/>
                  </w:divBdr>
                </w:div>
                <w:div w:id="687221331">
                  <w:marLeft w:val="0"/>
                  <w:marRight w:val="0"/>
                  <w:marTop w:val="0"/>
                  <w:marBottom w:val="0"/>
                  <w:divBdr>
                    <w:top w:val="none" w:sz="0" w:space="0" w:color="auto"/>
                    <w:left w:val="none" w:sz="0" w:space="0" w:color="auto"/>
                    <w:bottom w:val="none" w:sz="0" w:space="0" w:color="auto"/>
                    <w:right w:val="none" w:sz="0" w:space="0" w:color="auto"/>
                  </w:divBdr>
                </w:div>
                <w:div w:id="882324172">
                  <w:marLeft w:val="0"/>
                  <w:marRight w:val="0"/>
                  <w:marTop w:val="0"/>
                  <w:marBottom w:val="0"/>
                  <w:divBdr>
                    <w:top w:val="none" w:sz="0" w:space="0" w:color="auto"/>
                    <w:left w:val="none" w:sz="0" w:space="0" w:color="auto"/>
                    <w:bottom w:val="none" w:sz="0" w:space="0" w:color="auto"/>
                    <w:right w:val="none" w:sz="0" w:space="0" w:color="auto"/>
                  </w:divBdr>
                </w:div>
                <w:div w:id="273287483">
                  <w:marLeft w:val="0"/>
                  <w:marRight w:val="0"/>
                  <w:marTop w:val="0"/>
                  <w:marBottom w:val="0"/>
                  <w:divBdr>
                    <w:top w:val="none" w:sz="0" w:space="0" w:color="auto"/>
                    <w:left w:val="none" w:sz="0" w:space="0" w:color="auto"/>
                    <w:bottom w:val="none" w:sz="0" w:space="0" w:color="auto"/>
                    <w:right w:val="none" w:sz="0" w:space="0" w:color="auto"/>
                  </w:divBdr>
                  <w:divsChild>
                    <w:div w:id="665866446">
                      <w:marLeft w:val="0"/>
                      <w:marRight w:val="0"/>
                      <w:marTop w:val="0"/>
                      <w:marBottom w:val="0"/>
                      <w:divBdr>
                        <w:top w:val="single" w:sz="6" w:space="0" w:color="E1E2E6"/>
                        <w:left w:val="single" w:sz="6" w:space="0" w:color="E1E2E6"/>
                        <w:bottom w:val="single" w:sz="6" w:space="0" w:color="E1E2E6"/>
                        <w:right w:val="single" w:sz="6" w:space="0" w:color="E1E2E6"/>
                      </w:divBdr>
                      <w:divsChild>
                        <w:div w:id="15487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5255">
                  <w:marLeft w:val="0"/>
                  <w:marRight w:val="0"/>
                  <w:marTop w:val="0"/>
                  <w:marBottom w:val="0"/>
                  <w:divBdr>
                    <w:top w:val="none" w:sz="0" w:space="0" w:color="auto"/>
                    <w:left w:val="none" w:sz="0" w:space="0" w:color="auto"/>
                    <w:bottom w:val="none" w:sz="0" w:space="0" w:color="auto"/>
                    <w:right w:val="none" w:sz="0" w:space="0" w:color="auto"/>
                  </w:divBdr>
                </w:div>
                <w:div w:id="322397404">
                  <w:marLeft w:val="0"/>
                  <w:marRight w:val="0"/>
                  <w:marTop w:val="0"/>
                  <w:marBottom w:val="0"/>
                  <w:divBdr>
                    <w:top w:val="none" w:sz="0" w:space="0" w:color="auto"/>
                    <w:left w:val="none" w:sz="0" w:space="0" w:color="auto"/>
                    <w:bottom w:val="none" w:sz="0" w:space="0" w:color="auto"/>
                    <w:right w:val="none" w:sz="0" w:space="0" w:color="auto"/>
                  </w:divBdr>
                </w:div>
                <w:div w:id="2139030177">
                  <w:marLeft w:val="0"/>
                  <w:marRight w:val="0"/>
                  <w:marTop w:val="0"/>
                  <w:marBottom w:val="0"/>
                  <w:divBdr>
                    <w:top w:val="none" w:sz="0" w:space="0" w:color="auto"/>
                    <w:left w:val="none" w:sz="0" w:space="0" w:color="auto"/>
                    <w:bottom w:val="none" w:sz="0" w:space="0" w:color="auto"/>
                    <w:right w:val="none" w:sz="0" w:space="0" w:color="auto"/>
                  </w:divBdr>
                </w:div>
                <w:div w:id="1630823487">
                  <w:marLeft w:val="0"/>
                  <w:marRight w:val="0"/>
                  <w:marTop w:val="0"/>
                  <w:marBottom w:val="0"/>
                  <w:divBdr>
                    <w:top w:val="none" w:sz="0" w:space="0" w:color="auto"/>
                    <w:left w:val="none" w:sz="0" w:space="0" w:color="auto"/>
                    <w:bottom w:val="none" w:sz="0" w:space="0" w:color="auto"/>
                    <w:right w:val="none" w:sz="0" w:space="0" w:color="auto"/>
                  </w:divBdr>
                </w:div>
                <w:div w:id="1742294846">
                  <w:marLeft w:val="0"/>
                  <w:marRight w:val="0"/>
                  <w:marTop w:val="0"/>
                  <w:marBottom w:val="0"/>
                  <w:divBdr>
                    <w:top w:val="none" w:sz="0" w:space="0" w:color="auto"/>
                    <w:left w:val="none" w:sz="0" w:space="0" w:color="auto"/>
                    <w:bottom w:val="none" w:sz="0" w:space="0" w:color="auto"/>
                    <w:right w:val="none" w:sz="0" w:space="0" w:color="auto"/>
                  </w:divBdr>
                </w:div>
                <w:div w:id="265428204">
                  <w:marLeft w:val="0"/>
                  <w:marRight w:val="0"/>
                  <w:marTop w:val="0"/>
                  <w:marBottom w:val="0"/>
                  <w:divBdr>
                    <w:top w:val="none" w:sz="0" w:space="0" w:color="auto"/>
                    <w:left w:val="none" w:sz="0" w:space="0" w:color="auto"/>
                    <w:bottom w:val="none" w:sz="0" w:space="0" w:color="auto"/>
                    <w:right w:val="none" w:sz="0" w:space="0" w:color="auto"/>
                  </w:divBdr>
                </w:div>
                <w:div w:id="409542682">
                  <w:marLeft w:val="0"/>
                  <w:marRight w:val="0"/>
                  <w:marTop w:val="0"/>
                  <w:marBottom w:val="0"/>
                  <w:divBdr>
                    <w:top w:val="none" w:sz="0" w:space="0" w:color="auto"/>
                    <w:left w:val="none" w:sz="0" w:space="0" w:color="auto"/>
                    <w:bottom w:val="none" w:sz="0" w:space="0" w:color="auto"/>
                    <w:right w:val="none" w:sz="0" w:space="0" w:color="auto"/>
                  </w:divBdr>
                </w:div>
                <w:div w:id="1124621428">
                  <w:marLeft w:val="0"/>
                  <w:marRight w:val="0"/>
                  <w:marTop w:val="0"/>
                  <w:marBottom w:val="0"/>
                  <w:divBdr>
                    <w:top w:val="none" w:sz="0" w:space="0" w:color="auto"/>
                    <w:left w:val="none" w:sz="0" w:space="0" w:color="auto"/>
                    <w:bottom w:val="none" w:sz="0" w:space="0" w:color="auto"/>
                    <w:right w:val="none" w:sz="0" w:space="0" w:color="auto"/>
                  </w:divBdr>
                  <w:divsChild>
                    <w:div w:id="665598301">
                      <w:marLeft w:val="0"/>
                      <w:marRight w:val="0"/>
                      <w:marTop w:val="0"/>
                      <w:marBottom w:val="0"/>
                      <w:divBdr>
                        <w:top w:val="none" w:sz="0" w:space="0" w:color="auto"/>
                        <w:left w:val="none" w:sz="0" w:space="0" w:color="auto"/>
                        <w:bottom w:val="none" w:sz="0" w:space="0" w:color="auto"/>
                        <w:right w:val="none" w:sz="0" w:space="0" w:color="auto"/>
                      </w:divBdr>
                      <w:divsChild>
                        <w:div w:id="3394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r/rothira.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r/requiredminimumdistribution.asp" TargetMode="External"/><Relationship Id="rId12" Type="http://schemas.openxmlformats.org/officeDocument/2006/relationships/hyperlink" Target="https://www.investopedia.com/terms/b/beneficiar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i/ira.asp" TargetMode="External"/><Relationship Id="rId11" Type="http://schemas.openxmlformats.org/officeDocument/2006/relationships/hyperlink" Target="https://www.investopedia.com/terms/i/itemizeddeduction.asp" TargetMode="External"/><Relationship Id="rId5" Type="http://schemas.openxmlformats.org/officeDocument/2006/relationships/hyperlink" Target="https://www.investopedia.com/contributors/186/" TargetMode="External"/><Relationship Id="rId10" Type="http://schemas.openxmlformats.org/officeDocument/2006/relationships/hyperlink" Target="https://www.investopedia.com/terms/a/agi.asp" TargetMode="External"/><Relationship Id="rId4" Type="http://schemas.openxmlformats.org/officeDocument/2006/relationships/webSettings" Target="webSettings.xml"/><Relationship Id="rId9" Type="http://schemas.openxmlformats.org/officeDocument/2006/relationships/hyperlink" Target="https://www.investopedia.com/terms/a/agi.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Ursettie</dc:creator>
  <cp:keywords/>
  <dc:description/>
  <cp:lastModifiedBy>Howard Ursettie</cp:lastModifiedBy>
  <cp:revision>1</cp:revision>
  <dcterms:created xsi:type="dcterms:W3CDTF">2020-02-25T20:40:00Z</dcterms:created>
  <dcterms:modified xsi:type="dcterms:W3CDTF">2020-02-25T20:44:00Z</dcterms:modified>
</cp:coreProperties>
</file>